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F5" w:rsidRPr="00C62B0F" w:rsidRDefault="001216F5" w:rsidP="00EE3EFF">
      <w:pPr>
        <w:rPr>
          <w:b/>
        </w:rPr>
      </w:pPr>
      <w:bookmarkStart w:id="0" w:name="_GoBack"/>
      <w:bookmarkEnd w:id="0"/>
    </w:p>
    <w:p w:rsidR="001216F5" w:rsidRPr="00C62B0F" w:rsidRDefault="001216F5" w:rsidP="00EE3EFF">
      <w:pPr>
        <w:rPr>
          <w:b/>
          <w:u w:val="single"/>
        </w:rPr>
      </w:pPr>
      <w:r w:rsidRPr="00C62B0F">
        <w:rPr>
          <w:b/>
          <w:u w:val="single"/>
        </w:rPr>
        <w:t>New DIS Statement:</w:t>
      </w:r>
    </w:p>
    <w:p w:rsidR="001216F5" w:rsidRDefault="001216F5" w:rsidP="00EE3EFF"/>
    <w:p w:rsidR="001C28B0" w:rsidRDefault="001216F5" w:rsidP="00EE3EFF">
      <w:r>
        <w:t xml:space="preserve">The SIM Data Infrastructure Subcommittee (DIS) is a multi-stakeholder public/private group of health information technology (IT) leadership and professionals. </w:t>
      </w:r>
    </w:p>
    <w:p w:rsidR="001C28B0" w:rsidRDefault="001C28B0" w:rsidP="00EE3EFF"/>
    <w:p w:rsidR="001C28B0" w:rsidRDefault="001216F5" w:rsidP="00EE3EFF">
      <w:r>
        <w:t xml:space="preserve">The DIS provides </w:t>
      </w:r>
      <w:r w:rsidR="00F66769">
        <w:t>recommendations for the identified needs of the Delivery System Reform and Payment Reform Subcommittee</w:t>
      </w:r>
      <w:r w:rsidR="00ED7452">
        <w:t>, as well as any SIM partner,</w:t>
      </w:r>
      <w:r w:rsidR="00F66769">
        <w:t xml:space="preserve"> </w:t>
      </w:r>
      <w:r>
        <w:t xml:space="preserve">related to IT infrastructure and capabilities necessary to operationalize the State Innovation Model </w:t>
      </w:r>
      <w:r w:rsidR="00F66769">
        <w:t>objectives</w:t>
      </w:r>
      <w:r w:rsidR="001A4B62">
        <w:t xml:space="preserve">. </w:t>
      </w:r>
    </w:p>
    <w:p w:rsidR="001C28B0" w:rsidRDefault="001C28B0" w:rsidP="00EE3EFF"/>
    <w:p w:rsidR="00CC4183" w:rsidRDefault="001A4B62" w:rsidP="00EE3EFF">
      <w:r>
        <w:t>R</w:t>
      </w:r>
      <w:r w:rsidR="001216F5">
        <w:t>esults and recommendations</w:t>
      </w:r>
      <w:r>
        <w:t xml:space="preserve"> will consider both short and long term sustainability </w:t>
      </w:r>
      <w:r w:rsidR="00F66769">
        <w:t>of the SIM goals</w:t>
      </w:r>
      <w:r>
        <w:t xml:space="preserve"> and </w:t>
      </w:r>
      <w:r w:rsidR="00ED7452">
        <w:t xml:space="preserve">final recommendations reached in consensus between the subcommittees involved will be </w:t>
      </w:r>
      <w:r>
        <w:t>report</w:t>
      </w:r>
      <w:r w:rsidR="00ED7452">
        <w:t>ed</w:t>
      </w:r>
      <w:r>
        <w:t xml:space="preserve"> to the</w:t>
      </w:r>
      <w:r w:rsidR="001216F5">
        <w:t xml:space="preserve"> SIM Steering </w:t>
      </w:r>
      <w:r>
        <w:t>Committee.</w:t>
      </w:r>
      <w:r w:rsidR="001216F5">
        <w:t> </w:t>
      </w:r>
    </w:p>
    <w:p w:rsidR="00CC4183" w:rsidRDefault="00CC4183" w:rsidP="001216F5"/>
    <w:tbl>
      <w:tblPr>
        <w:tblW w:w="9540" w:type="dxa"/>
        <w:tblInd w:w="90" w:type="dxa"/>
        <w:tblLook w:val="04A0" w:firstRow="1" w:lastRow="0" w:firstColumn="1" w:lastColumn="0" w:noHBand="0" w:noVBand="1"/>
      </w:tblPr>
      <w:tblGrid>
        <w:gridCol w:w="4056"/>
        <w:gridCol w:w="2416"/>
        <w:gridCol w:w="3068"/>
      </w:tblGrid>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4"/>
                <w:szCs w:val="24"/>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CC4183" w:rsidRPr="00CC4183" w:rsidTr="00EE3EFF">
        <w:trPr>
          <w:trHeight w:val="300"/>
        </w:trPr>
        <w:tc>
          <w:tcPr>
            <w:tcW w:w="9540" w:type="dxa"/>
            <w:gridSpan w:val="3"/>
            <w:tcBorders>
              <w:top w:val="nil"/>
              <w:left w:val="nil"/>
              <w:bottom w:val="single" w:sz="4" w:space="0" w:color="auto"/>
              <w:right w:val="nil"/>
            </w:tcBorders>
            <w:shd w:val="clear" w:color="auto" w:fill="auto"/>
            <w:noWrap/>
            <w:vAlign w:val="bottom"/>
            <w:hideMark/>
          </w:tcPr>
          <w:p w:rsidR="00CC4183" w:rsidRPr="00CC4183" w:rsidRDefault="0038417D" w:rsidP="00CC4183">
            <w:pPr>
              <w:jc w:val="center"/>
              <w:rPr>
                <w:rFonts w:eastAsia="Times New Roman"/>
                <w:b/>
                <w:bCs/>
                <w:color w:val="000000"/>
              </w:rPr>
            </w:pPr>
            <w:r w:rsidRPr="0038417D">
              <w:rPr>
                <w:rFonts w:eastAsia="Times New Roman"/>
                <w:b/>
                <w:bCs/>
                <w:color w:val="000000"/>
              </w:rPr>
              <w:t>Communication Flow for Data and Information Related Objectives</w:t>
            </w: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jc w:val="center"/>
              <w:rPr>
                <w:rFonts w:eastAsia="Times New Roman"/>
                <w:b/>
                <w:bCs/>
                <w:color w:val="00000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15"/>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15"/>
        </w:trPr>
        <w:tc>
          <w:tcPr>
            <w:tcW w:w="4056" w:type="dxa"/>
            <w:tcBorders>
              <w:top w:val="single" w:sz="8" w:space="0" w:color="auto"/>
              <w:left w:val="single" w:sz="8" w:space="0" w:color="auto"/>
              <w:bottom w:val="single" w:sz="8" w:space="0" w:color="auto"/>
              <w:right w:val="single" w:sz="8" w:space="0" w:color="auto"/>
            </w:tcBorders>
            <w:shd w:val="clear" w:color="000000" w:fill="9BC2E6"/>
            <w:noWrap/>
            <w:vAlign w:val="bottom"/>
            <w:hideMark/>
          </w:tcPr>
          <w:p w:rsidR="00EE3EFF" w:rsidRDefault="00CC4183" w:rsidP="00EE3EFF">
            <w:pPr>
              <w:jc w:val="center"/>
              <w:rPr>
                <w:rFonts w:eastAsia="Times New Roman"/>
                <w:color w:val="000000"/>
              </w:rPr>
            </w:pPr>
            <w:r w:rsidRPr="00CC4183">
              <w:rPr>
                <w:rFonts w:eastAsia="Times New Roman"/>
                <w:color w:val="000000"/>
              </w:rPr>
              <w:t xml:space="preserve">Delivery System Reform </w:t>
            </w:r>
          </w:p>
          <w:p w:rsidR="00CC4183" w:rsidRPr="00CC4183" w:rsidRDefault="00CC4183" w:rsidP="00EE3EFF">
            <w:pPr>
              <w:jc w:val="center"/>
              <w:rPr>
                <w:rFonts w:eastAsia="Times New Roman"/>
                <w:color w:val="000000"/>
              </w:rPr>
            </w:pPr>
            <w:r w:rsidRPr="00CC4183">
              <w:rPr>
                <w:rFonts w:eastAsia="Times New Roman"/>
                <w:color w:val="000000"/>
              </w:rPr>
              <w:t>Subcommittee</w:t>
            </w: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eastAsia="Times New Roman"/>
                <w:color w:val="000000"/>
              </w:rPr>
            </w:pPr>
          </w:p>
        </w:tc>
        <w:tc>
          <w:tcPr>
            <w:tcW w:w="3068" w:type="dxa"/>
            <w:tcBorders>
              <w:top w:val="single" w:sz="8" w:space="0" w:color="auto"/>
              <w:left w:val="single" w:sz="8" w:space="0" w:color="auto"/>
              <w:bottom w:val="single" w:sz="8" w:space="0" w:color="auto"/>
              <w:right w:val="single" w:sz="8" w:space="0" w:color="auto"/>
            </w:tcBorders>
            <w:shd w:val="clear" w:color="000000" w:fill="A9D08E"/>
            <w:noWrap/>
            <w:vAlign w:val="bottom"/>
            <w:hideMark/>
          </w:tcPr>
          <w:p w:rsidR="00CC4183" w:rsidRPr="00CC4183" w:rsidRDefault="00CC4183" w:rsidP="00EE3EFF">
            <w:pPr>
              <w:jc w:val="center"/>
              <w:rPr>
                <w:rFonts w:eastAsia="Times New Roman"/>
                <w:color w:val="000000"/>
              </w:rPr>
            </w:pPr>
            <w:r w:rsidRPr="00CC4183">
              <w:rPr>
                <w:rFonts w:eastAsia="Times New Roman"/>
                <w:color w:val="000000"/>
              </w:rPr>
              <w:t>Payment Reform Subcommittee</w:t>
            </w: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ED7452" w:rsidP="00CC4183">
            <w:pPr>
              <w:rPr>
                <w:rFonts w:eastAsia="Times New Roman"/>
                <w:color w:val="000000"/>
              </w:rPr>
            </w:pPr>
            <w:r>
              <w:rPr>
                <w:rFonts w:eastAsia="Times New Roman"/>
                <w:noProof/>
                <w:color w:val="000000"/>
              </w:rPr>
              <mc:AlternateContent>
                <mc:Choice Requires="wps">
                  <w:drawing>
                    <wp:anchor distT="0" distB="0" distL="114300" distR="114300" simplePos="0" relativeHeight="251659776" behindDoc="0" locked="0" layoutInCell="1" allowOverlap="1">
                      <wp:simplePos x="0" y="0"/>
                      <wp:positionH relativeFrom="column">
                        <wp:posOffset>1893570</wp:posOffset>
                      </wp:positionH>
                      <wp:positionV relativeFrom="paragraph">
                        <wp:posOffset>127000</wp:posOffset>
                      </wp:positionV>
                      <wp:extent cx="657225" cy="638175"/>
                      <wp:effectExtent l="38100" t="38100" r="47625" b="47625"/>
                      <wp:wrapNone/>
                      <wp:docPr id="2" name="Straight Arrow Connector 2"/>
                      <wp:cNvGraphicFramePr/>
                      <a:graphic xmlns:a="http://schemas.openxmlformats.org/drawingml/2006/main">
                        <a:graphicData uri="http://schemas.microsoft.com/office/word/2010/wordprocessingShape">
                          <wps:wsp>
                            <wps:cNvCnPr/>
                            <wps:spPr>
                              <a:xfrm>
                                <a:off x="0" y="0"/>
                                <a:ext cx="657225" cy="638175"/>
                              </a:xfrm>
                              <a:prstGeom prst="straightConnector1">
                                <a:avLst/>
                              </a:prstGeom>
                              <a:ln>
                                <a:headEnd type="triangle"/>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w15="http://schemas.microsoft.com/office/word/2012/wordml">
                  <w:pict>
                    <v:shapetype w14:anchorId="27D9C0B6" id="_x0000_t32" coordsize="21600,21600" o:spt="32" o:oned="t" path="m,l21600,21600e" filled="f">
                      <v:path arrowok="t" fillok="f" o:connecttype="none"/>
                      <o:lock v:ext="edit" shapetype="t"/>
                    </v:shapetype>
                    <v:shape id="Straight Arrow Connector 2" o:spid="_x0000_s1026" type="#_x0000_t32" style="position:absolute;margin-left:149.1pt;margin-top:10pt;width:51.75pt;height:50.2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" strokecolor="#4472c4 [3208]" strokeweight="1.5pt">
                      <v:stroke startarrow="block" endarrow="block"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40"/>
            </w:tblGrid>
            <w:tr w:rsidR="00CC4183" w:rsidRPr="00CC4183">
              <w:trPr>
                <w:trHeight w:val="300"/>
                <w:tblCellSpacing w:w="0" w:type="dxa"/>
              </w:trPr>
              <w:tc>
                <w:tcPr>
                  <w:tcW w:w="3840" w:type="dxa"/>
                  <w:tcBorders>
                    <w:top w:val="nil"/>
                    <w:left w:val="nil"/>
                    <w:bottom w:val="nil"/>
                    <w:right w:val="nil"/>
                  </w:tcBorders>
                  <w:shd w:val="clear" w:color="auto" w:fill="auto"/>
                  <w:noWrap/>
                  <w:vAlign w:val="bottom"/>
                  <w:hideMark/>
                </w:tcPr>
                <w:p w:rsidR="00CC4183" w:rsidRPr="00CC4183" w:rsidRDefault="00CC4183" w:rsidP="00CC4183">
                  <w:pPr>
                    <w:rPr>
                      <w:rFonts w:eastAsia="Times New Roman"/>
                      <w:color w:val="000000"/>
                    </w:rPr>
                  </w:pPr>
                </w:p>
              </w:tc>
            </w:tr>
          </w:tbl>
          <w:p w:rsidR="00CC4183" w:rsidRPr="00CC4183" w:rsidRDefault="00CC4183" w:rsidP="00CC4183">
            <w:pPr>
              <w:rPr>
                <w:rFonts w:eastAsia="Times New Roman"/>
                <w:color w:val="000000"/>
              </w:rPr>
            </w:pPr>
          </w:p>
        </w:tc>
        <w:tc>
          <w:tcPr>
            <w:tcW w:w="2416" w:type="dxa"/>
            <w:tcBorders>
              <w:top w:val="nil"/>
              <w:left w:val="nil"/>
              <w:bottom w:val="nil"/>
              <w:right w:val="nil"/>
            </w:tcBorders>
            <w:shd w:val="clear" w:color="auto" w:fill="auto"/>
            <w:noWrap/>
            <w:vAlign w:val="bottom"/>
            <w:hideMark/>
          </w:tcPr>
          <w:p w:rsidR="00CC4183" w:rsidRPr="00CC4183" w:rsidRDefault="00ED7452" w:rsidP="00EE3EFF">
            <w:pPr>
              <w:tabs>
                <w:tab w:val="left" w:pos="3538"/>
              </w:tabs>
              <w:rPr>
                <w:rFonts w:ascii="Times New Roman" w:eastAsia="Times New Roman" w:hAnsi="Times New Roman"/>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60800" behindDoc="0" locked="0" layoutInCell="1" allowOverlap="1">
                      <wp:simplePos x="0" y="0"/>
                      <wp:positionH relativeFrom="column">
                        <wp:posOffset>1299210</wp:posOffset>
                      </wp:positionH>
                      <wp:positionV relativeFrom="paragraph">
                        <wp:posOffset>107950</wp:posOffset>
                      </wp:positionV>
                      <wp:extent cx="809625" cy="676275"/>
                      <wp:effectExtent l="38100" t="38100" r="47625" b="47625"/>
                      <wp:wrapNone/>
                      <wp:docPr id="4" name="Straight Arrow Connector 4"/>
                      <wp:cNvGraphicFramePr/>
                      <a:graphic xmlns:a="http://schemas.openxmlformats.org/drawingml/2006/main">
                        <a:graphicData uri="http://schemas.microsoft.com/office/word/2010/wordprocessingShape">
                          <wps:wsp>
                            <wps:cNvCnPr/>
                            <wps:spPr>
                              <a:xfrm flipH="1">
                                <a:off x="0" y="0"/>
                                <a:ext cx="809625" cy="676275"/>
                              </a:xfrm>
                              <a:prstGeom prst="straightConnector1">
                                <a:avLst/>
                              </a:prstGeom>
                              <a:ln>
                                <a:headEnd type="triangle"/>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w15="http://schemas.microsoft.com/office/word/2012/wordml">
                  <w:pict>
                    <v:shape w14:anchorId="5884B3BF" id="Straight Arrow Connector 4" o:spid="_x0000_s1026" type="#_x0000_t32" style="position:absolute;margin-left:102.3pt;margin-top:8.5pt;width:63.75pt;height:53.25pt;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" strokecolor="#4472c4 [3208]" strokeweight="1.5pt">
                      <v:stroke startarrow="block" endarrow="block" joinstyle="miter"/>
                    </v:shape>
                  </w:pict>
                </mc:Fallback>
              </mc:AlternateContent>
            </w: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15"/>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15"/>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single" w:sz="8" w:space="0" w:color="auto"/>
              <w:left w:val="single" w:sz="8" w:space="0" w:color="auto"/>
              <w:bottom w:val="single" w:sz="8" w:space="0" w:color="auto"/>
              <w:right w:val="single" w:sz="8" w:space="0" w:color="auto"/>
            </w:tcBorders>
            <w:shd w:val="clear" w:color="000000" w:fill="FFD966"/>
            <w:noWrap/>
            <w:vAlign w:val="bottom"/>
            <w:hideMark/>
          </w:tcPr>
          <w:p w:rsidR="00CC4183" w:rsidRPr="00CC4183" w:rsidRDefault="00CC4183" w:rsidP="00CC4183">
            <w:pPr>
              <w:jc w:val="center"/>
              <w:rPr>
                <w:rFonts w:eastAsia="Times New Roman"/>
                <w:color w:val="000000"/>
              </w:rPr>
            </w:pPr>
            <w:r w:rsidRPr="00CC4183">
              <w:rPr>
                <w:rFonts w:eastAsia="Times New Roman"/>
                <w:color w:val="000000"/>
              </w:rPr>
              <w:t>Data Infrastructure Subcommittee</w:t>
            </w: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eastAsia="Times New Roman"/>
                <w:color w:val="00000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vMerge w:val="restart"/>
            <w:tcBorders>
              <w:top w:val="nil"/>
              <w:left w:val="nil"/>
              <w:bottom w:val="nil"/>
              <w:right w:val="nil"/>
            </w:tcBorders>
            <w:shd w:val="clear" w:color="auto" w:fill="auto"/>
            <w:noWrap/>
            <w:vAlign w:val="bottom"/>
            <w:hideMark/>
          </w:tcPr>
          <w:p w:rsidR="00CC4183" w:rsidRDefault="00CC4183" w:rsidP="00CC4183">
            <w:pPr>
              <w:jc w:val="center"/>
              <w:rPr>
                <w:rFonts w:eastAsia="Times New Roman"/>
                <w:color w:val="000000"/>
              </w:rPr>
            </w:pPr>
            <w:r>
              <w:rPr>
                <w:rFonts w:eastAsia="Times New Roman"/>
                <w:noProof/>
                <w:color w:val="000000"/>
              </w:rPr>
              <mc:AlternateContent>
                <mc:Choice Requires="wps">
                  <w:drawing>
                    <wp:anchor distT="0" distB="0" distL="114300" distR="114300" simplePos="0" relativeHeight="251658752" behindDoc="0" locked="0" layoutInCell="1" allowOverlap="1">
                      <wp:simplePos x="0" y="0"/>
                      <wp:positionH relativeFrom="column">
                        <wp:posOffset>573405</wp:posOffset>
                      </wp:positionH>
                      <wp:positionV relativeFrom="paragraph">
                        <wp:posOffset>-244475</wp:posOffset>
                      </wp:positionV>
                      <wp:extent cx="152400" cy="390525"/>
                      <wp:effectExtent l="19050" t="0" r="19050" b="47625"/>
                      <wp:wrapNone/>
                      <wp:docPr id="1" name="Down Arrow 1"/>
                      <wp:cNvGraphicFramePr/>
                      <a:graphic xmlns:a="http://schemas.openxmlformats.org/drawingml/2006/main">
                        <a:graphicData uri="http://schemas.microsoft.com/office/word/2010/wordprocessingShape">
                          <wps:wsp>
                            <wps:cNvSpPr/>
                            <wps:spPr>
                              <a:xfrm>
                                <a:off x="0" y="0"/>
                                <a:ext cx="152400" cy="390525"/>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6C00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45.15pt;margin-top:-19.25pt;width:12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" adj="17385" fillcolor="#4472c4 [3208]" strokecolor="#1f3763 [1608]" strokeweight="1pt"/>
                  </w:pict>
                </mc:Fallback>
              </mc:AlternateContent>
            </w:r>
          </w:p>
          <w:p w:rsidR="00CC4183" w:rsidRPr="00CC4183" w:rsidRDefault="00CC4183" w:rsidP="00CC4183">
            <w:pPr>
              <w:jc w:val="center"/>
              <w:rPr>
                <w:rFonts w:eastAsia="Times New Roman"/>
                <w:color w:val="00000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eastAsia="Times New Roman"/>
                <w:color w:val="00000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vMerge/>
            <w:tcBorders>
              <w:top w:val="nil"/>
              <w:left w:val="nil"/>
              <w:bottom w:val="nil"/>
              <w:right w:val="nil"/>
            </w:tcBorders>
            <w:vAlign w:val="center"/>
            <w:hideMark/>
          </w:tcPr>
          <w:p w:rsidR="00CC4183" w:rsidRPr="00CC4183" w:rsidRDefault="00CC4183" w:rsidP="00CC4183">
            <w:pPr>
              <w:rPr>
                <w:rFonts w:eastAsia="Times New Roman"/>
                <w:color w:val="00000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vMerge/>
            <w:tcBorders>
              <w:top w:val="nil"/>
              <w:left w:val="nil"/>
              <w:bottom w:val="nil"/>
              <w:right w:val="nil"/>
            </w:tcBorders>
            <w:vAlign w:val="center"/>
            <w:hideMark/>
          </w:tcPr>
          <w:p w:rsidR="00CC4183" w:rsidRPr="00CC4183" w:rsidRDefault="00CC4183" w:rsidP="00CC4183">
            <w:pPr>
              <w:rPr>
                <w:rFonts w:eastAsia="Times New Roman"/>
                <w:color w:val="00000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r>
      <w:tr w:rsidR="00EE3EFF" w:rsidRPr="00CC4183" w:rsidTr="00EE3EFF">
        <w:trPr>
          <w:trHeight w:val="315"/>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vMerge/>
            <w:tcBorders>
              <w:top w:val="nil"/>
              <w:left w:val="nil"/>
              <w:bottom w:val="nil"/>
              <w:right w:val="nil"/>
            </w:tcBorders>
            <w:vAlign w:val="center"/>
            <w:hideMark/>
          </w:tcPr>
          <w:p w:rsidR="00CC4183" w:rsidRPr="00CC4183" w:rsidRDefault="00CC4183" w:rsidP="00CC4183">
            <w:pPr>
              <w:rPr>
                <w:rFonts w:eastAsia="Times New Roman"/>
                <w:color w:val="00000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r>
      <w:tr w:rsidR="00EE3EFF" w:rsidRPr="00CC4183" w:rsidTr="00EE3EFF">
        <w:trPr>
          <w:trHeight w:val="315"/>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rsidR="00CC4183" w:rsidRPr="00CC4183" w:rsidRDefault="00CC4183" w:rsidP="00CC4183">
            <w:pPr>
              <w:jc w:val="center"/>
              <w:rPr>
                <w:rFonts w:eastAsia="Times New Roman"/>
                <w:color w:val="000000"/>
              </w:rPr>
            </w:pPr>
            <w:r w:rsidRPr="00CC4183">
              <w:rPr>
                <w:rFonts w:eastAsia="Times New Roman"/>
                <w:color w:val="000000"/>
              </w:rPr>
              <w:t>SIM Steering Committee</w:t>
            </w: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eastAsia="Times New Roman"/>
                <w:color w:val="00000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r w:rsidR="00EE3EFF" w:rsidRPr="00CC4183" w:rsidTr="00EE3EFF">
        <w:trPr>
          <w:trHeight w:val="300"/>
        </w:trPr>
        <w:tc>
          <w:tcPr>
            <w:tcW w:w="405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2416" w:type="dxa"/>
            <w:tcBorders>
              <w:top w:val="nil"/>
              <w:left w:val="nil"/>
              <w:bottom w:val="nil"/>
              <w:right w:val="nil"/>
            </w:tcBorders>
            <w:shd w:val="clear" w:color="auto" w:fill="auto"/>
            <w:noWrap/>
            <w:vAlign w:val="bottom"/>
            <w:hideMark/>
          </w:tcPr>
          <w:p w:rsidR="00CC4183" w:rsidRPr="00CC4183" w:rsidRDefault="00CC4183" w:rsidP="00CC4183">
            <w:pPr>
              <w:rPr>
                <w:rFonts w:ascii="Times New Roman" w:eastAsia="Times New Roman" w:hAnsi="Times New Roman"/>
                <w:sz w:val="20"/>
                <w:szCs w:val="20"/>
              </w:rPr>
            </w:pPr>
          </w:p>
        </w:tc>
        <w:tc>
          <w:tcPr>
            <w:tcW w:w="3068" w:type="dxa"/>
            <w:tcBorders>
              <w:top w:val="nil"/>
              <w:left w:val="nil"/>
              <w:bottom w:val="nil"/>
              <w:right w:val="nil"/>
            </w:tcBorders>
            <w:shd w:val="clear" w:color="auto" w:fill="auto"/>
            <w:noWrap/>
            <w:vAlign w:val="bottom"/>
            <w:hideMark/>
          </w:tcPr>
          <w:p w:rsidR="00CC4183" w:rsidRPr="00CC4183" w:rsidRDefault="00CC4183" w:rsidP="00CC4183">
            <w:pPr>
              <w:jc w:val="center"/>
              <w:rPr>
                <w:rFonts w:ascii="Times New Roman" w:eastAsia="Times New Roman" w:hAnsi="Times New Roman"/>
                <w:sz w:val="20"/>
                <w:szCs w:val="20"/>
              </w:rPr>
            </w:pPr>
          </w:p>
        </w:tc>
      </w:tr>
    </w:tbl>
    <w:p w:rsidR="001216F5" w:rsidRDefault="001216F5">
      <w:r w:rsidRPr="001216F5">
        <w:rPr>
          <w:u w:val="single"/>
        </w:rPr>
        <w:t>Original Statement:</w:t>
      </w:r>
    </w:p>
    <w:p w:rsidR="001216F5" w:rsidRPr="001A4B62" w:rsidRDefault="001216F5"/>
    <w:p w:rsidR="001A4B62" w:rsidRPr="001A4B62" w:rsidRDefault="001A4B62" w:rsidP="001A4B62">
      <w:r w:rsidRPr="001A4B62">
        <w:t xml:space="preserve">The SIM Data Infrastructure Subcommittee will advise key projects and objectives within the scope of SIM towards improving data infrastructure systems and technology across the state of Maine. </w:t>
      </w:r>
    </w:p>
    <w:p w:rsidR="00631910" w:rsidRDefault="001A4B62">
      <w:r w:rsidRPr="001A4B62">
        <w:t>Specifically, advising on technical capabilities related but not limited to data infrastructure investments, use of national data standards and clinical and administrative data availability and interoperability. The Subcommittee will advise the SIM partners and the Steering Committee on areas of alignment of SIM data and analytics infrastructure activities with other public and private projects underway across the State.</w:t>
      </w:r>
    </w:p>
    <w:sectPr w:rsidR="00631910" w:rsidSect="00C62B0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F5"/>
    <w:rsid w:val="001216F5"/>
    <w:rsid w:val="001A4B62"/>
    <w:rsid w:val="001C28B0"/>
    <w:rsid w:val="001C549C"/>
    <w:rsid w:val="0038417D"/>
    <w:rsid w:val="005B7364"/>
    <w:rsid w:val="00631910"/>
    <w:rsid w:val="00BE3F8E"/>
    <w:rsid w:val="00C62B0F"/>
    <w:rsid w:val="00CC4183"/>
    <w:rsid w:val="00ED7452"/>
    <w:rsid w:val="00EE3EFF"/>
    <w:rsid w:val="00F6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16F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16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18946">
      <w:bodyDiv w:val="1"/>
      <w:marLeft w:val="0"/>
      <w:marRight w:val="0"/>
      <w:marTop w:val="0"/>
      <w:marBottom w:val="0"/>
      <w:divBdr>
        <w:top w:val="none" w:sz="0" w:space="0" w:color="auto"/>
        <w:left w:val="none" w:sz="0" w:space="0" w:color="auto"/>
        <w:bottom w:val="none" w:sz="0" w:space="0" w:color="auto"/>
        <w:right w:val="none" w:sz="0" w:space="0" w:color="auto"/>
      </w:divBdr>
    </w:div>
    <w:div w:id="1000812413">
      <w:bodyDiv w:val="1"/>
      <w:marLeft w:val="0"/>
      <w:marRight w:val="0"/>
      <w:marTop w:val="0"/>
      <w:marBottom w:val="0"/>
      <w:divBdr>
        <w:top w:val="none" w:sz="0" w:space="0" w:color="auto"/>
        <w:left w:val="none" w:sz="0" w:space="0" w:color="auto"/>
        <w:bottom w:val="none" w:sz="0" w:space="0" w:color="auto"/>
        <w:right w:val="none" w:sz="0" w:space="0" w:color="auto"/>
      </w:divBdr>
    </w:div>
    <w:div w:id="10358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HealthInfoNet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Sendze</dc:creator>
  <cp:keywords/>
  <dc:description/>
  <cp:lastModifiedBy>Chenard, Randal</cp:lastModifiedBy>
  <cp:revision>2</cp:revision>
  <dcterms:created xsi:type="dcterms:W3CDTF">2015-03-24T18:10:00Z</dcterms:created>
  <dcterms:modified xsi:type="dcterms:W3CDTF">2015-03-24T18:10:00Z</dcterms:modified>
</cp:coreProperties>
</file>